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</w:rPr>
        <w:t>昆明市盘龙职业高级中学  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学年</w:t>
      </w:r>
      <w:r>
        <w:rPr>
          <w:rFonts w:hint="eastAsia"/>
          <w:lang w:eastAsia="zh-CN"/>
        </w:rPr>
        <w:t>上</w:t>
      </w:r>
      <w:r>
        <w:rPr>
          <w:rFonts w:hint="eastAsia"/>
        </w:rPr>
        <w:t xml:space="preserve">学期  </w:t>
      </w:r>
      <w:r>
        <w:rPr>
          <w:rFonts w:hint="eastAsia"/>
          <w:lang w:eastAsia="zh-CN"/>
        </w:rPr>
        <w:t>单元测验</w:t>
      </w:r>
    </w:p>
    <w:p>
      <w:pPr>
        <w:ind w:firstLine="720"/>
        <w:jc w:val="center"/>
        <w:rPr>
          <w:rFonts w:ascii="微软雅黑" w:hAnsi="微软雅黑" w:eastAsia="微软雅黑"/>
          <w:b/>
          <w:bCs/>
          <w:sz w:val="36"/>
          <w:szCs w:val="24"/>
          <w:highlight w:val="none"/>
        </w:rPr>
      </w:pPr>
      <w:r>
        <w:rPr>
          <w:rFonts w:hint="eastAsia" w:ascii="微软雅黑" w:hAnsi="微软雅黑" w:eastAsia="微软雅黑"/>
          <w:b/>
          <w:bCs/>
          <w:sz w:val="36"/>
          <w:highlight w:val="none"/>
        </w:rPr>
        <w:t>高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二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汽车专业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汽车</w:t>
      </w:r>
      <w:r>
        <w:rPr>
          <w:rFonts w:hint="eastAsia" w:ascii="微软雅黑" w:hAnsi="微软雅黑" w:eastAsia="微软雅黑"/>
          <w:b/>
          <w:bCs/>
          <w:sz w:val="36"/>
          <w:highlight w:val="none"/>
          <w:lang w:eastAsia="zh-CN"/>
        </w:rPr>
        <w:t>底盘构造与拆装</w:t>
      </w:r>
      <w:r>
        <w:rPr>
          <w:rFonts w:hint="eastAsia" w:ascii="微软雅黑" w:hAnsi="微软雅黑" w:eastAsia="微软雅黑"/>
          <w:b/>
          <w:bCs/>
          <w:sz w:val="36"/>
          <w:highlight w:val="none"/>
        </w:rPr>
        <w:t xml:space="preserve">  （考试-闭卷）</w:t>
      </w:r>
    </w:p>
    <w:tbl>
      <w:tblPr>
        <w:tblStyle w:val="13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71"/>
        <w:gridCol w:w="427"/>
        <w:gridCol w:w="991"/>
        <w:gridCol w:w="2555"/>
        <w:gridCol w:w="425"/>
        <w:gridCol w:w="706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1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  <w:bookmarkStart w:id="0" w:name="_Toc533841069"/>
            <w:r>
              <w:rPr>
                <w:rFonts w:hint="eastAsia"/>
                <w:highlight w:val="none"/>
              </w:rPr>
              <w:t>班级：</w:t>
            </w:r>
          </w:p>
        </w:tc>
        <w:tc>
          <w:tcPr>
            <w:tcW w:w="24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  <w:r>
              <w:rPr>
                <w:highlight w:val="none"/>
              </w:rPr>
              <w:t>：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得分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pStyle w:val="38"/>
              <w:rPr>
                <w:highlight w:val="none"/>
              </w:rPr>
            </w:pP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pStyle w:val="12"/>
        <w:bidi w:val="0"/>
      </w:pPr>
      <w:r>
        <w:rPr>
          <w:rFonts w:hint="eastAsia"/>
        </w:rPr>
        <w:t>任务一  拆卸与安装膜片弹簧式离合器总成</w:t>
      </w:r>
    </w:p>
    <w:p>
      <w:pPr>
        <w:pStyle w:val="2"/>
        <w:bidi w:val="0"/>
        <w:rPr>
          <w:rFonts w:hint="eastAsia"/>
          <w:highlight w:val="none"/>
          <w:lang w:eastAsia="zh-CN"/>
        </w:rPr>
      </w:pPr>
    </w:p>
    <w:p>
      <w:pPr>
        <w:pStyle w:val="2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一、任务情境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1.一辆桑塔纳轿车发动机在怠速运转，离合器踏板踩到底挂挡时，有齿轮的撞击声并且难以挂入。经诊断，该车存在离合器分离不彻底的故障。维修人员需进行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的拆装，以便维修。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A.膜片弹簧式离合器  B.周布弹簧式离合器  C.中央弹簧式离合器  D.以上答案均不属于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二、任务目标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2.学习拆卸与安装膜片弹簧式离合器总成的任务能够达到那些目标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lang w:val="en-US" w:eastAsia="zh-CN"/>
        </w:rPr>
        <w:t xml:space="preserve">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A.能叙述膜片式离合器的基本结构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B.能叙述膜片弹簧式离合器总成主要零部件的作用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C.能叙述摩擦式离合器的工作过程 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D.能叙述膜片弹簧式离合器操纵机构的类型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三、知识准备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3.离合器是传动系的组成部分，安装在发动机与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之间。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A.膜片弹簧式离合器  B.周布弹簧式离合器  C.中央弹簧式离合器  D.变速器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4.根据膜片弹簧式离合器的基本结构（图1所示），填写膜片弹簧式离合器的组成元件。</w:t>
      </w:r>
    </w:p>
    <w:p>
      <w:pPr>
        <w:pStyle w:val="38"/>
        <w:bidi w:val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60270" cy="2384425"/>
            <wp:effectExtent l="0" t="0" r="3810" b="8255"/>
            <wp:docPr id="10" name="图片 10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" t="1964" r="12035" b="354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 膜片弹簧式离合器的基本结构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90"/>
        <w:gridCol w:w="500"/>
        <w:gridCol w:w="2090"/>
        <w:gridCol w:w="500"/>
        <w:gridCol w:w="2090"/>
        <w:gridCol w:w="50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008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5.根据膜片弹簧式离合器压盘总成的结构（图2所示），填写膜片弹簧式离合器压盘总成的组成元件。</w:t>
      </w:r>
    </w:p>
    <w:p>
      <w:pPr>
        <w:pStyle w:val="38"/>
        <w:bidi w:val="0"/>
      </w:pPr>
      <w:r>
        <w:drawing>
          <wp:inline distT="0" distB="0" distL="0" distR="0">
            <wp:extent cx="2160270" cy="2330450"/>
            <wp:effectExtent l="0" t="0" r="381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  膜片弹簧式离合器压盘总成的结构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90"/>
        <w:gridCol w:w="500"/>
        <w:gridCol w:w="2090"/>
        <w:gridCol w:w="500"/>
        <w:gridCol w:w="2090"/>
        <w:gridCol w:w="50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6.从动盘主要由以下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那些部分组成。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A.从动盘钢片  B.摩擦片   C.离合器盖  D.扭转减震器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7.根据膜片弹簧式离合器从动盘的结构（图3所示），填写膜片弹簧式离合器从动盘的组成元件。</w:t>
      </w:r>
    </w:p>
    <w:p>
      <w:pPr>
        <w:pStyle w:val="38"/>
        <w:bidi w:val="0"/>
      </w:pPr>
      <w:r>
        <w:drawing>
          <wp:inline distT="0" distB="0" distL="0" distR="0">
            <wp:extent cx="3599815" cy="2668905"/>
            <wp:effectExtent l="0" t="0" r="12065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图3  膜片弹簧式离合器从动盘的结构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087"/>
        <w:gridCol w:w="516"/>
        <w:gridCol w:w="2088"/>
        <w:gridCol w:w="498"/>
        <w:gridCol w:w="2088"/>
        <w:gridCol w:w="498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</w:p>
        </w:tc>
        <w:tc>
          <w:tcPr>
            <w:tcW w:w="1008" w:type="pct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</w:p>
        </w:tc>
        <w:tc>
          <w:tcPr>
            <w:tcW w:w="1008" w:type="pct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</w:p>
        </w:tc>
        <w:tc>
          <w:tcPr>
            <w:tcW w:w="1008" w:type="pct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</w:t>
            </w:r>
          </w:p>
        </w:tc>
        <w:tc>
          <w:tcPr>
            <w:tcW w:w="1008" w:type="pct"/>
            <w:tcBorders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tcBorders>
              <w:bottom w:val="single" w:color="auto" w:sz="4" w:space="0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tcBorders>
              <w:bottom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四、计划与决策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8.填写拆卸与安装膜片弹簧式离合器总成的实训步骤：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（1）工作准备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（2）拆卸膜片弹簧式离合器及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A.摩擦片  B.从动盘  C.离合器盖  D.飞轮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（3）安装膜片弹簧式离合器及从动盘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（4）完工检查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五、任务实施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9.拆卸膜片弹簧式离合器及从动盘时，使用记号笔在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之间做好标记。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A.离合器从动盘与飞轮  B. 离合器压盘与飞轮   C. 离合器盖与飞轮  D. 离合器总成与飞轮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10.拆卸离合器压盘总成固定螺栓时，按照维修手册规定的拆装顺序，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拧松离合器压盘总成上的6颗固定螺栓。                       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A.顺时针  B. 逆时针   C. 对角交叉分两次  D. 以上答案均可以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11.检查从动盘工作表面时，目视检查离合器从动盘工作表面是否出现以下（）情况，如有，应进行处理或更换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                     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有油污  B. 裂纹   C. 从动盘减震弹簧断裂  D. 铆钉外漏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12.安放离合器从动盘时，将离合器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的一端朝向飞轮，较长一端朝外。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从动盘凸缘轴套较长  B. 从动盘凸缘轴套较短  C. 离合器压盘  D. 以上答案均可以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13.紧固离合器压盘总成固定螺栓时，使用扭力扳手、接杆和套筒，按照维修手册规定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的力矩进行紧固。                             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15N.m   B. 20N.m   C. 25N.m   D. 30N.m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14.安装离合器从动盘时方向不能装反，否则将造成离合器不能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结合   B. 分离   C. 动不平衡   D. 静不平衡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六、考核标准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无试题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七、知识与技能拓展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15.如图4所示，当未踩下离合器踏板时，离合器处于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状态。                     （    ）</w:t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3599815" cy="2282190"/>
            <wp:effectExtent l="0" t="0" r="12065" b="3810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  未踩下离合器踏板的工作状况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A.接合  B.分离  C.半联动  D.不确定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16.如图5所示，当踩下离合器踏板时，离合器处于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状态。                   （    ）</w:t>
      </w:r>
    </w:p>
    <w:p>
      <w:pPr>
        <w:pStyle w:val="3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599815" cy="2467610"/>
            <wp:effectExtent l="0" t="0" r="12065" b="127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图5  踩下离合器踏板的工作状况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A.接合  B.分离  C.半联动  D.不确定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17.当离合器处于结合状态时，在压紧弹簧张力的作用下使从动盘摩擦面与飞轮后端面压紧，从而依靠飞轮间的摩擦力带动从动盘旋转，通过两者表面的摩擦阻力来传递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动力。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A.发动机  B.变速器  C.主减速器  D.差速器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18.当踩下离合器踏板时，压紧弹簧被压缩，从动盘摩擦片与飞轮脱离接触，从而使离合器处于分离状态，达到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动力传递的目的。                                            （    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A.传递  B.切断  C.保持  D.不确定</w:t>
      </w:r>
      <w:bookmarkStart w:id="1" w:name="_GoBack"/>
      <w:bookmarkEnd w:id="1"/>
    </w:p>
    <w:bookmarkEnd w:id="0"/>
    <w:p>
      <w:pPr>
        <w:bidi w:val="0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850" w:h="16783"/>
      <w:pgMar w:top="1985" w:right="851" w:bottom="1985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《汽车</w:t>
    </w:r>
    <w:r>
      <w:rPr>
        <w:rFonts w:hint="eastAsia" w:ascii="宋体" w:hAnsi="宋体"/>
        <w:sz w:val="21"/>
        <w:szCs w:val="21"/>
        <w:lang w:eastAsia="zh-CN"/>
      </w:rPr>
      <w:t>底盘构造与拆装</w:t>
    </w:r>
    <w:r>
      <w:rPr>
        <w:rFonts w:hint="eastAsia" w:ascii="宋体" w:hAnsi="宋体"/>
        <w:sz w:val="21"/>
        <w:szCs w:val="21"/>
      </w:rPr>
      <w:t xml:space="preserve">》                                                    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10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 xml:space="preserve"> /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NUMPAGES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</w:rPr>
      <w:t>10</w:t>
    </w:r>
    <w:r>
      <w:rPr>
        <w:rFonts w:ascii="宋体" w:hAnsi="宋体"/>
        <w:sz w:val="21"/>
        <w:szCs w:val="2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3F"/>
    <w:rsid w:val="0002676D"/>
    <w:rsid w:val="000359D1"/>
    <w:rsid w:val="0003753B"/>
    <w:rsid w:val="00060CEB"/>
    <w:rsid w:val="00076941"/>
    <w:rsid w:val="000946DE"/>
    <w:rsid w:val="000B45BD"/>
    <w:rsid w:val="000B49F6"/>
    <w:rsid w:val="000C44FA"/>
    <w:rsid w:val="000D027B"/>
    <w:rsid w:val="000D210D"/>
    <w:rsid w:val="001161DA"/>
    <w:rsid w:val="00117380"/>
    <w:rsid w:val="001212DB"/>
    <w:rsid w:val="0013744F"/>
    <w:rsid w:val="00153648"/>
    <w:rsid w:val="001550E4"/>
    <w:rsid w:val="00161F43"/>
    <w:rsid w:val="001633BC"/>
    <w:rsid w:val="00163A27"/>
    <w:rsid w:val="00167535"/>
    <w:rsid w:val="00172A27"/>
    <w:rsid w:val="00175E58"/>
    <w:rsid w:val="001818B1"/>
    <w:rsid w:val="001A035E"/>
    <w:rsid w:val="001A50C2"/>
    <w:rsid w:val="001C4685"/>
    <w:rsid w:val="001D3E57"/>
    <w:rsid w:val="001E052B"/>
    <w:rsid w:val="0020205E"/>
    <w:rsid w:val="00202C56"/>
    <w:rsid w:val="00214F5C"/>
    <w:rsid w:val="002357D1"/>
    <w:rsid w:val="00237889"/>
    <w:rsid w:val="0025619A"/>
    <w:rsid w:val="002944D7"/>
    <w:rsid w:val="00303EC1"/>
    <w:rsid w:val="00307566"/>
    <w:rsid w:val="00313337"/>
    <w:rsid w:val="00325ABB"/>
    <w:rsid w:val="00333D37"/>
    <w:rsid w:val="003369C8"/>
    <w:rsid w:val="00344835"/>
    <w:rsid w:val="003512A8"/>
    <w:rsid w:val="00353AA4"/>
    <w:rsid w:val="003674D4"/>
    <w:rsid w:val="00374A2E"/>
    <w:rsid w:val="00374FD5"/>
    <w:rsid w:val="00380ECA"/>
    <w:rsid w:val="003B22B9"/>
    <w:rsid w:val="003C4F1F"/>
    <w:rsid w:val="003D103B"/>
    <w:rsid w:val="003D2535"/>
    <w:rsid w:val="004116C2"/>
    <w:rsid w:val="004175DB"/>
    <w:rsid w:val="00440681"/>
    <w:rsid w:val="0047429D"/>
    <w:rsid w:val="00482F61"/>
    <w:rsid w:val="00485DE1"/>
    <w:rsid w:val="00490995"/>
    <w:rsid w:val="004A0FC8"/>
    <w:rsid w:val="004A2E5B"/>
    <w:rsid w:val="004A3525"/>
    <w:rsid w:val="004A5360"/>
    <w:rsid w:val="004C4054"/>
    <w:rsid w:val="004E7EAA"/>
    <w:rsid w:val="00512D5C"/>
    <w:rsid w:val="00532EC8"/>
    <w:rsid w:val="00543849"/>
    <w:rsid w:val="00563B74"/>
    <w:rsid w:val="005970D3"/>
    <w:rsid w:val="005D24B2"/>
    <w:rsid w:val="005D618D"/>
    <w:rsid w:val="00613A6D"/>
    <w:rsid w:val="00615186"/>
    <w:rsid w:val="006175B2"/>
    <w:rsid w:val="006240B4"/>
    <w:rsid w:val="00642B17"/>
    <w:rsid w:val="0064306B"/>
    <w:rsid w:val="00646388"/>
    <w:rsid w:val="00651DA9"/>
    <w:rsid w:val="00660C31"/>
    <w:rsid w:val="0066142D"/>
    <w:rsid w:val="00663443"/>
    <w:rsid w:val="006648A8"/>
    <w:rsid w:val="00674B19"/>
    <w:rsid w:val="00674FA6"/>
    <w:rsid w:val="00695FA1"/>
    <w:rsid w:val="006A1F3A"/>
    <w:rsid w:val="006B7C05"/>
    <w:rsid w:val="006D27C2"/>
    <w:rsid w:val="006E307B"/>
    <w:rsid w:val="006F37D0"/>
    <w:rsid w:val="00746413"/>
    <w:rsid w:val="007508A0"/>
    <w:rsid w:val="00751B18"/>
    <w:rsid w:val="007659D8"/>
    <w:rsid w:val="00766D29"/>
    <w:rsid w:val="00783EC9"/>
    <w:rsid w:val="007E67C1"/>
    <w:rsid w:val="007F41F6"/>
    <w:rsid w:val="007F6F9C"/>
    <w:rsid w:val="00813D7F"/>
    <w:rsid w:val="00815705"/>
    <w:rsid w:val="00824E04"/>
    <w:rsid w:val="008252D9"/>
    <w:rsid w:val="00832CBB"/>
    <w:rsid w:val="00852657"/>
    <w:rsid w:val="00856369"/>
    <w:rsid w:val="00896BD0"/>
    <w:rsid w:val="008A01BE"/>
    <w:rsid w:val="008F2BD7"/>
    <w:rsid w:val="008F5E10"/>
    <w:rsid w:val="00901833"/>
    <w:rsid w:val="0090389A"/>
    <w:rsid w:val="00917A52"/>
    <w:rsid w:val="009304BA"/>
    <w:rsid w:val="00970258"/>
    <w:rsid w:val="009837C6"/>
    <w:rsid w:val="009952EC"/>
    <w:rsid w:val="009A79E8"/>
    <w:rsid w:val="009C274C"/>
    <w:rsid w:val="009E2AC8"/>
    <w:rsid w:val="009F7E5D"/>
    <w:rsid w:val="00A1653E"/>
    <w:rsid w:val="00A21F2A"/>
    <w:rsid w:val="00A27E59"/>
    <w:rsid w:val="00A461E3"/>
    <w:rsid w:val="00A65010"/>
    <w:rsid w:val="00A659C6"/>
    <w:rsid w:val="00A774B1"/>
    <w:rsid w:val="00A801AB"/>
    <w:rsid w:val="00A845EB"/>
    <w:rsid w:val="00A84E5B"/>
    <w:rsid w:val="00A86A35"/>
    <w:rsid w:val="00A93698"/>
    <w:rsid w:val="00AA17CF"/>
    <w:rsid w:val="00AA290B"/>
    <w:rsid w:val="00AA524F"/>
    <w:rsid w:val="00AB0B7A"/>
    <w:rsid w:val="00AC0028"/>
    <w:rsid w:val="00AC42C4"/>
    <w:rsid w:val="00AE531C"/>
    <w:rsid w:val="00B00E66"/>
    <w:rsid w:val="00B306C8"/>
    <w:rsid w:val="00B35CF5"/>
    <w:rsid w:val="00B52286"/>
    <w:rsid w:val="00B55620"/>
    <w:rsid w:val="00B64881"/>
    <w:rsid w:val="00B64F75"/>
    <w:rsid w:val="00B717BA"/>
    <w:rsid w:val="00B81B02"/>
    <w:rsid w:val="00B82789"/>
    <w:rsid w:val="00B856ED"/>
    <w:rsid w:val="00B91C40"/>
    <w:rsid w:val="00B92345"/>
    <w:rsid w:val="00BA282E"/>
    <w:rsid w:val="00BB5DBA"/>
    <w:rsid w:val="00BE5603"/>
    <w:rsid w:val="00BF2E09"/>
    <w:rsid w:val="00C02BD1"/>
    <w:rsid w:val="00C13F89"/>
    <w:rsid w:val="00C1678E"/>
    <w:rsid w:val="00C267DA"/>
    <w:rsid w:val="00C33044"/>
    <w:rsid w:val="00C330AD"/>
    <w:rsid w:val="00C34633"/>
    <w:rsid w:val="00C612AA"/>
    <w:rsid w:val="00C70B85"/>
    <w:rsid w:val="00C93D66"/>
    <w:rsid w:val="00CB0C12"/>
    <w:rsid w:val="00CB0E81"/>
    <w:rsid w:val="00CC423D"/>
    <w:rsid w:val="00CC5F05"/>
    <w:rsid w:val="00CD769D"/>
    <w:rsid w:val="00CE1667"/>
    <w:rsid w:val="00CE773B"/>
    <w:rsid w:val="00CF11FE"/>
    <w:rsid w:val="00D0495A"/>
    <w:rsid w:val="00D04AE4"/>
    <w:rsid w:val="00D106FA"/>
    <w:rsid w:val="00D37CB6"/>
    <w:rsid w:val="00D72DA2"/>
    <w:rsid w:val="00D77E7E"/>
    <w:rsid w:val="00D94679"/>
    <w:rsid w:val="00D9671F"/>
    <w:rsid w:val="00DA7858"/>
    <w:rsid w:val="00DB312D"/>
    <w:rsid w:val="00DC25DD"/>
    <w:rsid w:val="00DC52FB"/>
    <w:rsid w:val="00DE1125"/>
    <w:rsid w:val="00DE37FD"/>
    <w:rsid w:val="00DF1391"/>
    <w:rsid w:val="00E071B6"/>
    <w:rsid w:val="00E13A37"/>
    <w:rsid w:val="00E14937"/>
    <w:rsid w:val="00E32091"/>
    <w:rsid w:val="00E42E9C"/>
    <w:rsid w:val="00E46B2D"/>
    <w:rsid w:val="00E73BE3"/>
    <w:rsid w:val="00E74110"/>
    <w:rsid w:val="00E76ADB"/>
    <w:rsid w:val="00E80CCC"/>
    <w:rsid w:val="00F02A5F"/>
    <w:rsid w:val="00F2618E"/>
    <w:rsid w:val="00F32133"/>
    <w:rsid w:val="00F6081E"/>
    <w:rsid w:val="00F642DD"/>
    <w:rsid w:val="00F8643E"/>
    <w:rsid w:val="00F8658A"/>
    <w:rsid w:val="00FA6A74"/>
    <w:rsid w:val="00FD30BE"/>
    <w:rsid w:val="00FD6146"/>
    <w:rsid w:val="00FD6813"/>
    <w:rsid w:val="00FE6A37"/>
    <w:rsid w:val="00FF2247"/>
    <w:rsid w:val="01764B09"/>
    <w:rsid w:val="02097614"/>
    <w:rsid w:val="032E41F5"/>
    <w:rsid w:val="03FA437E"/>
    <w:rsid w:val="054C0D72"/>
    <w:rsid w:val="06276517"/>
    <w:rsid w:val="06AF1F4F"/>
    <w:rsid w:val="075A7859"/>
    <w:rsid w:val="077B11CB"/>
    <w:rsid w:val="07C1464B"/>
    <w:rsid w:val="07F10218"/>
    <w:rsid w:val="08C339A6"/>
    <w:rsid w:val="0AFC0ECD"/>
    <w:rsid w:val="0C977308"/>
    <w:rsid w:val="0DA53C15"/>
    <w:rsid w:val="0DA7026C"/>
    <w:rsid w:val="11F110B7"/>
    <w:rsid w:val="13BD2A2C"/>
    <w:rsid w:val="13E70898"/>
    <w:rsid w:val="1425317E"/>
    <w:rsid w:val="168609F5"/>
    <w:rsid w:val="17B27D0E"/>
    <w:rsid w:val="182A1ABC"/>
    <w:rsid w:val="19B47255"/>
    <w:rsid w:val="19EE4438"/>
    <w:rsid w:val="1C753AF4"/>
    <w:rsid w:val="1EBB2317"/>
    <w:rsid w:val="20176D27"/>
    <w:rsid w:val="20827008"/>
    <w:rsid w:val="221605CC"/>
    <w:rsid w:val="23726F07"/>
    <w:rsid w:val="263B493D"/>
    <w:rsid w:val="26953D1C"/>
    <w:rsid w:val="26D0166B"/>
    <w:rsid w:val="27424A32"/>
    <w:rsid w:val="27806748"/>
    <w:rsid w:val="289A43E9"/>
    <w:rsid w:val="2B2074B6"/>
    <w:rsid w:val="2B2D2E73"/>
    <w:rsid w:val="33237C9C"/>
    <w:rsid w:val="33D2610F"/>
    <w:rsid w:val="33D56810"/>
    <w:rsid w:val="348976D6"/>
    <w:rsid w:val="35351DD4"/>
    <w:rsid w:val="35EC1CE8"/>
    <w:rsid w:val="37F51516"/>
    <w:rsid w:val="39580433"/>
    <w:rsid w:val="3A217624"/>
    <w:rsid w:val="3BD41CBC"/>
    <w:rsid w:val="3CA00BC5"/>
    <w:rsid w:val="411B7F8C"/>
    <w:rsid w:val="41470279"/>
    <w:rsid w:val="4475487A"/>
    <w:rsid w:val="46541FFB"/>
    <w:rsid w:val="46BA0A39"/>
    <w:rsid w:val="48262C4A"/>
    <w:rsid w:val="4B27797A"/>
    <w:rsid w:val="4B566375"/>
    <w:rsid w:val="4BE93BF3"/>
    <w:rsid w:val="4C060815"/>
    <w:rsid w:val="4EB96E50"/>
    <w:rsid w:val="51665C0C"/>
    <w:rsid w:val="52F331A6"/>
    <w:rsid w:val="53E26FAD"/>
    <w:rsid w:val="54004D6D"/>
    <w:rsid w:val="556959F1"/>
    <w:rsid w:val="5BD972F9"/>
    <w:rsid w:val="5C4A48FF"/>
    <w:rsid w:val="5C6A0401"/>
    <w:rsid w:val="5E741E05"/>
    <w:rsid w:val="5EB50A2B"/>
    <w:rsid w:val="60195923"/>
    <w:rsid w:val="604A6710"/>
    <w:rsid w:val="67B10A04"/>
    <w:rsid w:val="682C4C39"/>
    <w:rsid w:val="68D14A51"/>
    <w:rsid w:val="69485827"/>
    <w:rsid w:val="6A176B12"/>
    <w:rsid w:val="6C076723"/>
    <w:rsid w:val="6EAA1FD3"/>
    <w:rsid w:val="6ED837D8"/>
    <w:rsid w:val="716D19B3"/>
    <w:rsid w:val="74943308"/>
    <w:rsid w:val="75D24FB6"/>
    <w:rsid w:val="77987B12"/>
    <w:rsid w:val="78FD178F"/>
    <w:rsid w:val="7A37054E"/>
    <w:rsid w:val="7A806295"/>
    <w:rsid w:val="7B6E0F90"/>
    <w:rsid w:val="7BEA143F"/>
    <w:rsid w:val="7C8A5A06"/>
    <w:rsid w:val="7D3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adjustRightInd w:val="0"/>
      <w:snapToGrid w:val="0"/>
      <w:ind w:firstLine="482" w:firstLineChars="200"/>
      <w:jc w:val="left"/>
      <w:outlineLvl w:val="0"/>
    </w:pPr>
    <w:rPr>
      <w:rFonts w:ascii="宋体" w:hAnsi="Calibri"/>
      <w:b/>
      <w:sz w:val="24"/>
      <w:szCs w:val="2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ind w:firstLine="200" w:firstLineChars="200"/>
      <w:jc w:val="left"/>
      <w:outlineLvl w:val="1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ind w:firstLine="200" w:firstLineChars="200"/>
      <w:jc w:val="left"/>
      <w:outlineLvl w:val="2"/>
    </w:pPr>
    <w:rPr>
      <w:rFonts w:ascii="宋体" w:hAnsi="Calibri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ind w:firstLine="200" w:firstLineChars="20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18"/>
    <w:qFormat/>
    <w:uiPriority w:val="0"/>
    <w:rPr>
      <w:rFonts w:ascii="宋体" w:hAnsi="Courier New"/>
      <w:kern w:val="0"/>
      <w:sz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adjustRightInd w:val="0"/>
      <w:snapToGrid w:val="0"/>
      <w:ind w:firstLine="200" w:firstLineChars="200"/>
      <w:jc w:val="left"/>
    </w:pPr>
    <w:rPr>
      <w:rFonts w:ascii="宋体" w:hAnsi="Calibri"/>
      <w:sz w:val="24"/>
      <w:szCs w:val="2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10"/>
    <w:pPr>
      <w:adjustRightInd w:val="0"/>
      <w:snapToGrid w:val="0"/>
      <w:jc w:val="center"/>
      <w:outlineLvl w:val="0"/>
    </w:pPr>
    <w:rPr>
      <w:rFonts w:ascii="Calibri Light" w:hAnsi="Calibri Light" w:eastAsia="微软雅黑"/>
      <w:bCs/>
      <w:sz w:val="32"/>
      <w:szCs w:val="32"/>
      <w:lang w:val="zh-CN"/>
    </w:r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link w:val="32"/>
    <w:qFormat/>
    <w:uiPriority w:val="0"/>
    <w:pPr>
      <w:ind w:firstLine="420" w:firstLineChars="200"/>
    </w:pPr>
    <w:rPr>
      <w:szCs w:val="24"/>
    </w:rPr>
  </w:style>
  <w:style w:type="character" w:customStyle="1" w:styleId="18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页脚 Char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眉 Char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basedOn w:val="15"/>
    <w:link w:val="2"/>
    <w:qFormat/>
    <w:uiPriority w:val="9"/>
    <w:rPr>
      <w:rFonts w:ascii="宋体" w:hAnsi="Calibri"/>
      <w:b/>
      <w:kern w:val="2"/>
      <w:sz w:val="24"/>
      <w:szCs w:val="22"/>
    </w:rPr>
  </w:style>
  <w:style w:type="character" w:customStyle="1" w:styleId="23">
    <w:name w:val="标题 2 Char"/>
    <w:basedOn w:val="15"/>
    <w:link w:val="3"/>
    <w:qFormat/>
    <w:uiPriority w:val="9"/>
    <w:rPr>
      <w:rFonts w:ascii="Calibri Light" w:hAnsi="Calibri Light"/>
      <w:b/>
      <w:bCs/>
      <w:kern w:val="2"/>
      <w:sz w:val="32"/>
      <w:szCs w:val="32"/>
      <w:lang w:val="zh-CN"/>
    </w:rPr>
  </w:style>
  <w:style w:type="character" w:customStyle="1" w:styleId="24">
    <w:name w:val="标题 3 Char"/>
    <w:basedOn w:val="15"/>
    <w:link w:val="4"/>
    <w:semiHidden/>
    <w:qFormat/>
    <w:uiPriority w:val="9"/>
    <w:rPr>
      <w:rFonts w:ascii="宋体" w:hAnsi="Calibri"/>
      <w:b/>
      <w:bCs/>
      <w:kern w:val="2"/>
      <w:sz w:val="32"/>
      <w:szCs w:val="32"/>
      <w:lang w:val="zh-CN"/>
    </w:rPr>
  </w:style>
  <w:style w:type="character" w:customStyle="1" w:styleId="25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Char"/>
    <w:basedOn w:val="15"/>
    <w:link w:val="12"/>
    <w:qFormat/>
    <w:uiPriority w:val="10"/>
    <w:rPr>
      <w:rFonts w:ascii="Calibri Light" w:hAnsi="Calibri Light" w:eastAsia="微软雅黑"/>
      <w:bCs/>
      <w:kern w:val="2"/>
      <w:sz w:val="32"/>
      <w:szCs w:val="32"/>
      <w:lang w:val="zh-CN"/>
    </w:rPr>
  </w:style>
  <w:style w:type="paragraph" w:styleId="27">
    <w:name w:val="No Spacing"/>
    <w:basedOn w:val="1"/>
    <w:next w:val="1"/>
    <w:link w:val="30"/>
    <w:qFormat/>
    <w:uiPriority w:val="0"/>
    <w:pPr>
      <w:adjustRightInd w:val="0"/>
      <w:snapToGrid w:val="0"/>
      <w:ind w:firstLine="200" w:firstLineChars="200"/>
      <w:jc w:val="center"/>
    </w:pPr>
    <w:rPr>
      <w:rFonts w:ascii="Calibri" w:hAnsi="Calibri"/>
      <w:szCs w:val="22"/>
    </w:rPr>
  </w:style>
  <w:style w:type="paragraph" w:customStyle="1" w:styleId="28">
    <w:name w:val="表文-左"/>
    <w:basedOn w:val="29"/>
    <w:link w:val="31"/>
    <w:qFormat/>
    <w:uiPriority w:val="0"/>
    <w:pPr>
      <w:jc w:val="left"/>
    </w:pPr>
  </w:style>
  <w:style w:type="paragraph" w:customStyle="1" w:styleId="29">
    <w:name w:val="表文-中"/>
    <w:link w:val="33"/>
    <w:qFormat/>
    <w:uiPriority w:val="0"/>
    <w:pPr>
      <w:ind w:firstLine="0" w:firstLineChars="0"/>
      <w:jc w:val="center"/>
    </w:pPr>
    <w:rPr>
      <w:rFonts w:ascii="Times New Roman" w:hAnsi="宋体" w:eastAsia="宋体" w:cs="Times New Roman"/>
      <w:sz w:val="21"/>
      <w:szCs w:val="21"/>
    </w:rPr>
  </w:style>
  <w:style w:type="character" w:customStyle="1" w:styleId="30">
    <w:name w:val="无间隔 Char"/>
    <w:link w:val="2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1">
    <w:name w:val="表文-左 Char"/>
    <w:link w:val="28"/>
    <w:qFormat/>
    <w:uiPriority w:val="0"/>
    <w:rPr>
      <w:rFonts w:ascii="宋体" w:hAnsi="宋体"/>
      <w:kern w:val="2"/>
      <w:sz w:val="21"/>
      <w:szCs w:val="21"/>
    </w:rPr>
  </w:style>
  <w:style w:type="character" w:customStyle="1" w:styleId="32">
    <w:name w:val="列出段落 Char"/>
    <w:link w:val="17"/>
    <w:qFormat/>
    <w:uiPriority w:val="0"/>
    <w:rPr>
      <w:kern w:val="2"/>
      <w:sz w:val="21"/>
      <w:szCs w:val="24"/>
    </w:rPr>
  </w:style>
  <w:style w:type="character" w:customStyle="1" w:styleId="33">
    <w:name w:val="表文-中 Char"/>
    <w:link w:val="29"/>
    <w:qFormat/>
    <w:uiPriority w:val="0"/>
    <w:rPr>
      <w:rFonts w:ascii="宋体" w:hAnsi="宋体"/>
      <w:kern w:val="2"/>
      <w:sz w:val="21"/>
      <w:szCs w:val="21"/>
    </w:rPr>
  </w:style>
  <w:style w:type="paragraph" w:customStyle="1" w:styleId="34">
    <w:name w:val="表-标题行"/>
    <w:basedOn w:val="1"/>
    <w:next w:val="1"/>
    <w:link w:val="35"/>
    <w:qFormat/>
    <w:uiPriority w:val="0"/>
    <w:pPr>
      <w:adjustRightInd w:val="0"/>
      <w:snapToGrid w:val="0"/>
      <w:ind w:firstLine="0" w:firstLineChars="0"/>
      <w:jc w:val="center"/>
    </w:pPr>
    <w:rPr>
      <w:rFonts w:ascii="Calibri" w:hAnsi="Calibri"/>
      <w:b/>
      <w:szCs w:val="22"/>
    </w:rPr>
  </w:style>
  <w:style w:type="character" w:customStyle="1" w:styleId="35">
    <w:name w:val="表-标题行 Char"/>
    <w:link w:val="34"/>
    <w:qFormat/>
    <w:uiPriority w:val="0"/>
    <w:rPr>
      <w:rFonts w:ascii="Calibri" w:hAnsi="Calibri" w:eastAsia="宋体"/>
      <w:b/>
      <w:kern w:val="2"/>
      <w:sz w:val="21"/>
      <w:szCs w:val="22"/>
    </w:rPr>
  </w:style>
  <w:style w:type="table" w:customStyle="1" w:styleId="36">
    <w:name w:val="网格型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表标+图"/>
    <w:basedOn w:val="1"/>
    <w:link w:val="39"/>
    <w:qFormat/>
    <w:uiPriority w:val="0"/>
    <w:pPr>
      <w:ind w:firstLine="0" w:firstLineChars="0"/>
      <w:jc w:val="center"/>
    </w:pPr>
    <w:rPr>
      <w:rFonts w:ascii="Times New Roman" w:hAnsi="Times New Roman"/>
      <w:b/>
    </w:rPr>
  </w:style>
  <w:style w:type="character" w:customStyle="1" w:styleId="39">
    <w:name w:val="表标+图 Char"/>
    <w:link w:val="38"/>
    <w:qFormat/>
    <w:uiPriority w:val="0"/>
    <w:rPr>
      <w:rFonts w:ascii="Times New Roman" w:hAnsi="Times New Roman" w:eastAsia="宋体"/>
      <w:b/>
      <w:kern w:val="2"/>
      <w:sz w:val="21"/>
      <w:szCs w:val="22"/>
    </w:rPr>
  </w:style>
  <w:style w:type="table" w:customStyle="1" w:styleId="40">
    <w:name w:val="网格型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4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5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3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网格型6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7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8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31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9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10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1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31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12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31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13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41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14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网格型15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网格型16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17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18"/>
    <w:basedOn w:val="13"/>
    <w:unhideWhenUsed/>
    <w:qFormat/>
    <w:uiPriority w:val="3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91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1387</Words>
  <Characters>7910</Characters>
  <Lines>65</Lines>
  <Paragraphs>18</Paragraphs>
  <TotalTime>1</TotalTime>
  <ScaleCrop>false</ScaleCrop>
  <LinksUpToDate>false</LinksUpToDate>
  <CharactersWithSpaces>9279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2020-07-16T09:40:00Z</dcterms:created>
  <dc:creator>微软用户</dc:creator>
  <cp:lastModifiedBy>阿风</cp:lastModifiedBy>
  <cp:lastPrinted>2022-02-03T07:05:00Z</cp:lastPrinted>
  <dcterms:modified xsi:type="dcterms:W3CDTF">2022-08-18T14:38:36Z</dcterms:modified>
  <dc:title>昆明市盘龙职业高级中学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